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564"/>
        <w:gridCol w:w="2616"/>
        <w:gridCol w:w="1013"/>
        <w:gridCol w:w="564"/>
        <w:gridCol w:w="2263"/>
        <w:gridCol w:w="477"/>
        <w:gridCol w:w="90"/>
        <w:gridCol w:w="619"/>
        <w:gridCol w:w="90"/>
        <w:gridCol w:w="477"/>
        <w:gridCol w:w="90"/>
        <w:gridCol w:w="618"/>
        <w:gridCol w:w="90"/>
        <w:gridCol w:w="477"/>
        <w:gridCol w:w="90"/>
        <w:gridCol w:w="76"/>
        <w:gridCol w:w="240"/>
        <w:gridCol w:w="163"/>
      </w:tblGrid>
      <w:tr>
        <w:tblPrEx>
          <w:tblCellMar>
            <w:top w:w="15" w:type="dxa"/>
            <w:left w:w="15" w:type="dxa"/>
            <w:bottom w:w="15" w:type="dxa"/>
            <w:right w:w="15" w:type="dxa"/>
          </w:tblCellMar>
        </w:tblPrEx>
        <w:trPr>
          <w:gridAfter w:val="1"/>
          <w:wAfter w:w="163" w:type="dxa"/>
          <w:trHeight w:val="1035" w:hRule="atLeast"/>
        </w:trPr>
        <w:tc>
          <w:tcPr>
            <w:tcW w:w="14356" w:type="dxa"/>
            <w:gridSpan w:val="21"/>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val="en-US" w:eastAsia="zh-CN"/>
              </w:rPr>
              <w:t>刁祁镇人民政府政务公开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240" w:type="dxa"/>
            <w:vAlign w:val="center"/>
          </w:tcPr>
          <w:p>
            <w:pPr>
              <w:widowControl/>
              <w:jc w:val="center"/>
              <w:textAlignment w:val="center"/>
              <w:rPr>
                <w:rFonts w:ascii="宋体" w:hAnsi="宋体" w:cs="宋体"/>
                <w:b/>
                <w:color w:val="000000"/>
                <w:sz w:val="40"/>
                <w:szCs w:val="40"/>
              </w:rPr>
            </w:pPr>
          </w:p>
        </w:tc>
      </w:tr>
      <w:tr>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6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部门规章及规范性文件】《关于印发全国农村部分计划生育家庭奖励扶助制度管理规范的通知》（人口厅发[2006]122号）</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56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61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rPr>
          <w:gridAfter w:val="1"/>
          <w:wAfter w:w="163" w:type="dxa"/>
          <w:trHeight w:val="90"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564"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616"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13"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刁祁镇人民政府</w:t>
            </w:r>
          </w:p>
        </w:tc>
        <w:tc>
          <w:tcPr>
            <w:tcW w:w="226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477"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w:t>
            </w:r>
            <w:r>
              <w:rPr>
                <w:rFonts w:hint="eastAsia" w:ascii="宋体" w:hAnsi="宋体" w:cs="宋体"/>
                <w:color w:val="000000"/>
                <w:sz w:val="16"/>
                <w:szCs w:val="16"/>
              </w:rPr>
              <w:t>4.一般公共预算“三公”经费支出表按“因公出国（境）费”“公务用车购置及运行费”应细化到</w:t>
            </w:r>
            <w:r>
              <w:rPr>
                <w:rFonts w:hint="eastAsia" w:ascii="宋体" w:hAnsi="宋体" w:cs="宋体"/>
                <w:color w:val="000000"/>
                <w:sz w:val="15"/>
                <w:szCs w:val="15"/>
              </w:rPr>
              <w:t>“公务用车购置费”“公务用车运行费”两个</w:t>
            </w:r>
            <w:r>
              <w:rPr>
                <w:rFonts w:hint="eastAsia" w:ascii="宋体" w:hAnsi="宋体" w:cs="宋体"/>
                <w:color w:val="000000"/>
                <w:sz w:val="16"/>
                <w:szCs w:val="16"/>
              </w:rPr>
              <w:t>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w:t>
            </w:r>
            <w:r>
              <w:rPr>
                <w:rFonts w:hint="eastAsia" w:ascii="宋体" w:hAnsi="宋体" w:cs="宋体"/>
                <w:color w:val="000000"/>
                <w:sz w:val="16"/>
                <w:szCs w:val="16"/>
              </w:rPr>
              <w:t>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p>
            <w:pP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rPr>
                <w:rFonts w:hint="eastAsia" w:ascii="宋体" w:hAnsi="宋体" w:cs="宋体"/>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3733"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w:t>
            </w:r>
            <w:r>
              <w:rPr>
                <w:rFonts w:hint="eastAsia" w:ascii="宋体" w:hAnsi="宋体" w:cs="宋体"/>
                <w:color w:val="000000"/>
                <w:sz w:val="16"/>
                <w:szCs w:val="16"/>
              </w:rPr>
              <w:t>；4.办理事项、办理条件、救助标准、申请材料、办理流程、办理时间、地点、联系方式、监督电话；5.支出型临时救助对象名单、救助金额、救助事由</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63" w:type="dxa"/>
          <w:trHeight w:val="449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61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1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47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tc>
        <w:tc>
          <w:tcPr>
            <w:tcW w:w="261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1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刁祁镇人民政府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26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□精准推送</w:t>
            </w:r>
          </w:p>
        </w:tc>
        <w:tc>
          <w:tcPr>
            <w:tcW w:w="47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61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1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刁祁镇人民政府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26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163"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61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1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刁祁镇人民政府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26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564"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564"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w:t>
            </w:r>
            <w:r>
              <w:rPr>
                <w:rFonts w:hint="eastAsia" w:ascii="宋体" w:hAnsi="宋体" w:cs="宋体"/>
                <w:color w:val="000000"/>
                <w:sz w:val="16"/>
                <w:szCs w:val="16"/>
              </w:rPr>
              <w:t>扶贫项目实施后情况（包括资金使用、项目实施结果、检查验收结果、绩效目标实现情况等）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63"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gridAfter w:val="1"/>
          <w:wAfter w:w="163" w:type="dxa"/>
          <w:trHeight w:val="2992"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61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刁祁镇人民政府、各村</w:t>
            </w:r>
          </w:p>
        </w:tc>
        <w:tc>
          <w:tcPr>
            <w:tcW w:w="22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w:t>
            </w:r>
            <w:bookmarkStart w:id="0" w:name="_GoBack"/>
            <w:bookmarkEnd w:id="0"/>
            <w:r>
              <w:rPr>
                <w:rFonts w:hint="eastAsia" w:ascii="宋体" w:hAnsi="宋体" w:cs="宋体"/>
                <w:color w:val="000000"/>
                <w:sz w:val="18"/>
                <w:szCs w:val="18"/>
              </w:rPr>
              <w:t>□精准推送   □其他</w:t>
            </w:r>
          </w:p>
        </w:tc>
        <w:tc>
          <w:tcPr>
            <w:tcW w:w="4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eastAsia="宋体" w:cs="宋体"/>
          <w:color w:val="000000"/>
          <w:sz w:val="18"/>
          <w:szCs w:val="18"/>
          <w:lang w:eastAsia="zh-CN"/>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2B24CAD"/>
    <w:rsid w:val="054C075A"/>
    <w:rsid w:val="066F3246"/>
    <w:rsid w:val="0E212D65"/>
    <w:rsid w:val="126C20B8"/>
    <w:rsid w:val="14913AEA"/>
    <w:rsid w:val="149D6DDD"/>
    <w:rsid w:val="1AD079BC"/>
    <w:rsid w:val="308826AC"/>
    <w:rsid w:val="350E7B3B"/>
    <w:rsid w:val="35186BA2"/>
    <w:rsid w:val="378B3ED8"/>
    <w:rsid w:val="399655E6"/>
    <w:rsid w:val="41A73AB5"/>
    <w:rsid w:val="458E7A14"/>
    <w:rsid w:val="4BD72EDE"/>
    <w:rsid w:val="5AD604D9"/>
    <w:rsid w:val="69103CC1"/>
    <w:rsid w:val="759B17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14</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2020-12-04T02:18:32Z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